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24"/>
        <w:gridCol w:w="2824"/>
        <w:gridCol w:w="832"/>
        <w:gridCol w:w="800"/>
        <w:gridCol w:w="728"/>
        <w:gridCol w:w="952"/>
        <w:gridCol w:w="904"/>
        <w:gridCol w:w="672"/>
        <w:gridCol w:w="568"/>
        <w:gridCol w:w="608"/>
        <w:gridCol w:w="624"/>
        <w:gridCol w:w="672"/>
        <w:gridCol w:w="888"/>
        <w:gridCol w:w="728"/>
        <w:gridCol w:w="576"/>
      </w:tblGrid>
      <w:tr w:rsidR="00975C43" w:rsidTr="00434B2C">
        <w:trPr>
          <w:trHeight w:val="244"/>
        </w:trPr>
        <w:tc>
          <w:tcPr>
            <w:tcW w:w="1024" w:type="dxa"/>
            <w:vMerge w:val="restart"/>
          </w:tcPr>
          <w:p w:rsidR="00975C43" w:rsidRDefault="00975C43" w:rsidP="00434B2C">
            <w:pPr>
              <w:pStyle w:val="TableParagraph"/>
              <w:spacing w:before="140" w:line="240" w:lineRule="auto"/>
              <w:ind w:left="245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рец.</w:t>
            </w:r>
          </w:p>
        </w:tc>
        <w:tc>
          <w:tcPr>
            <w:tcW w:w="2824" w:type="dxa"/>
            <w:vMerge w:val="restart"/>
          </w:tcPr>
          <w:p w:rsidR="00975C43" w:rsidRDefault="00975C43" w:rsidP="00434B2C">
            <w:pPr>
              <w:pStyle w:val="TableParagraph"/>
              <w:spacing w:before="140" w:line="240" w:lineRule="auto"/>
              <w:ind w:left="60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Наименование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блюда</w:t>
            </w:r>
          </w:p>
        </w:tc>
        <w:tc>
          <w:tcPr>
            <w:tcW w:w="832" w:type="dxa"/>
            <w:vMerge w:val="restart"/>
          </w:tcPr>
          <w:p w:rsidR="00975C43" w:rsidRDefault="00975C43" w:rsidP="00434B2C">
            <w:pPr>
              <w:pStyle w:val="TableParagraph"/>
              <w:spacing w:before="28" w:line="259" w:lineRule="auto"/>
              <w:ind w:left="134" w:right="117" w:firstLine="3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Масса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порции</w:t>
            </w:r>
          </w:p>
        </w:tc>
        <w:tc>
          <w:tcPr>
            <w:tcW w:w="2480" w:type="dxa"/>
            <w:gridSpan w:val="3"/>
          </w:tcPr>
          <w:p w:rsidR="00975C43" w:rsidRDefault="00975C43" w:rsidP="00434B2C">
            <w:pPr>
              <w:pStyle w:val="TableParagraph"/>
              <w:spacing w:before="4" w:line="240" w:lineRule="auto"/>
              <w:ind w:left="42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Пищевые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вещества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(г)</w:t>
            </w:r>
          </w:p>
        </w:tc>
        <w:tc>
          <w:tcPr>
            <w:tcW w:w="904" w:type="dxa"/>
            <w:vMerge w:val="restart"/>
          </w:tcPr>
          <w:p w:rsidR="00975C43" w:rsidRDefault="00975C43" w:rsidP="00434B2C">
            <w:pPr>
              <w:pStyle w:val="TableParagraph"/>
              <w:spacing w:before="28" w:line="259" w:lineRule="auto"/>
              <w:ind w:left="110" w:firstLine="16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Энергет.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ценности</w:t>
            </w:r>
          </w:p>
        </w:tc>
        <w:tc>
          <w:tcPr>
            <w:tcW w:w="2472" w:type="dxa"/>
            <w:gridSpan w:val="4"/>
          </w:tcPr>
          <w:p w:rsidR="00975C43" w:rsidRDefault="00975C43" w:rsidP="00434B2C">
            <w:pPr>
              <w:pStyle w:val="TableParagraph"/>
              <w:spacing w:before="4" w:line="240" w:lineRule="auto"/>
              <w:ind w:left="69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Витамины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(мг)</w:t>
            </w:r>
          </w:p>
        </w:tc>
        <w:tc>
          <w:tcPr>
            <w:tcW w:w="2864" w:type="dxa"/>
            <w:gridSpan w:val="4"/>
          </w:tcPr>
          <w:p w:rsidR="00975C43" w:rsidRDefault="00975C43" w:rsidP="00434B2C">
            <w:pPr>
              <w:pStyle w:val="TableParagraph"/>
              <w:spacing w:before="4" w:line="240" w:lineRule="auto"/>
              <w:ind w:left="381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Минеральные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вещества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(мг)</w:t>
            </w:r>
          </w:p>
        </w:tc>
      </w:tr>
      <w:tr w:rsidR="00975C43" w:rsidTr="00434B2C">
        <w:trPr>
          <w:trHeight w:val="243"/>
        </w:trPr>
        <w:tc>
          <w:tcPr>
            <w:tcW w:w="1024" w:type="dxa"/>
            <w:vMerge/>
            <w:tcBorders>
              <w:top w:val="nil"/>
            </w:tcBorders>
          </w:tcPr>
          <w:p w:rsidR="00975C43" w:rsidRDefault="00975C43" w:rsidP="00434B2C">
            <w:pPr>
              <w:rPr>
                <w:sz w:val="2"/>
                <w:szCs w:val="2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</w:tcPr>
          <w:p w:rsidR="00975C43" w:rsidRDefault="00975C43" w:rsidP="00434B2C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 w:rsidR="00975C43" w:rsidRDefault="00975C43" w:rsidP="00434B2C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right="15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Белки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91" w:right="60"/>
              <w:rPr>
                <w:b/>
                <w:sz w:val="17"/>
              </w:rPr>
            </w:pPr>
            <w:r>
              <w:rPr>
                <w:b/>
                <w:sz w:val="17"/>
              </w:rPr>
              <w:t>Жиры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99" w:right="68"/>
              <w:rPr>
                <w:b/>
                <w:sz w:val="17"/>
              </w:rPr>
            </w:pPr>
            <w:r>
              <w:rPr>
                <w:b/>
                <w:sz w:val="17"/>
              </w:rPr>
              <w:t>Углеводы</w:t>
            </w:r>
          </w:p>
        </w:tc>
        <w:tc>
          <w:tcPr>
            <w:tcW w:w="904" w:type="dxa"/>
            <w:vMerge/>
            <w:tcBorders>
              <w:top w:val="nil"/>
            </w:tcBorders>
          </w:tcPr>
          <w:p w:rsidR="00975C43" w:rsidRDefault="00975C43" w:rsidP="00434B2C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60" w:right="39"/>
              <w:rPr>
                <w:b/>
                <w:sz w:val="17"/>
              </w:rPr>
            </w:pPr>
            <w:r>
              <w:rPr>
                <w:b/>
                <w:sz w:val="17"/>
              </w:rPr>
              <w:t>В1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32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С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21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А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33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Е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61" w:right="35"/>
              <w:rPr>
                <w:b/>
                <w:sz w:val="17"/>
              </w:rPr>
            </w:pPr>
            <w:r>
              <w:rPr>
                <w:b/>
                <w:sz w:val="17"/>
              </w:rPr>
              <w:t>Са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33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>Р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25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Мg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spacing w:before="12" w:line="240" w:lineRule="auto"/>
              <w:ind w:left="57" w:right="37"/>
              <w:rPr>
                <w:b/>
                <w:sz w:val="17"/>
              </w:rPr>
            </w:pPr>
            <w:r>
              <w:rPr>
                <w:b/>
                <w:sz w:val="17"/>
              </w:rPr>
              <w:t>Fe</w:t>
            </w:r>
          </w:p>
        </w:tc>
      </w:tr>
      <w:tr w:rsidR="00975C43" w:rsidTr="00434B2C">
        <w:trPr>
          <w:trHeight w:val="243"/>
        </w:trPr>
        <w:tc>
          <w:tcPr>
            <w:tcW w:w="13400" w:type="dxa"/>
            <w:gridSpan w:val="15"/>
          </w:tcPr>
          <w:p w:rsidR="00975C43" w:rsidRDefault="00975C43" w:rsidP="00434B2C">
            <w:pPr>
              <w:pStyle w:val="TableParagraph"/>
              <w:spacing w:before="2" w:line="240" w:lineRule="auto"/>
              <w:ind w:left="6224" w:right="6189"/>
              <w:rPr>
                <w:b/>
                <w:sz w:val="18"/>
              </w:rPr>
            </w:pPr>
            <w:r>
              <w:rPr>
                <w:b/>
                <w:sz w:val="18"/>
              </w:rPr>
              <w:t>ОБЕД</w:t>
            </w:r>
          </w:p>
        </w:tc>
      </w:tr>
      <w:tr w:rsidR="00975C43" w:rsidTr="00434B2C">
        <w:trPr>
          <w:trHeight w:val="244"/>
        </w:trPr>
        <w:tc>
          <w:tcPr>
            <w:tcW w:w="1024" w:type="dxa"/>
          </w:tcPr>
          <w:p w:rsidR="00975C43" w:rsidRDefault="00975C43" w:rsidP="00434B2C">
            <w:pPr>
              <w:pStyle w:val="TableParagraph"/>
              <w:ind w:left="85" w:right="66"/>
              <w:rPr>
                <w:sz w:val="18"/>
              </w:rPr>
            </w:pPr>
            <w:r>
              <w:rPr>
                <w:sz w:val="18"/>
              </w:rPr>
              <w:t>14/2008</w:t>
            </w:r>
          </w:p>
        </w:tc>
        <w:tc>
          <w:tcPr>
            <w:tcW w:w="2824" w:type="dxa"/>
          </w:tcPr>
          <w:p w:rsidR="00975C43" w:rsidRDefault="00975C43" w:rsidP="00434B2C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Салат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"Дружба"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91" w:right="71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ind w:left="88" w:right="68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ind w:left="134" w:right="114"/>
              <w:rPr>
                <w:sz w:val="18"/>
              </w:rPr>
            </w:pPr>
            <w:r>
              <w:rPr>
                <w:sz w:val="18"/>
              </w:rPr>
              <w:t>111.00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left="2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ind w:left="57" w:right="37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ind w:left="89" w:right="61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40.28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ind w:left="56" w:right="36"/>
              <w:rPr>
                <w:sz w:val="18"/>
              </w:rPr>
            </w:pPr>
            <w:r>
              <w:rPr>
                <w:sz w:val="18"/>
              </w:rPr>
              <w:t>0.00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122.57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ind w:left="65" w:right="37"/>
              <w:rPr>
                <w:sz w:val="18"/>
              </w:rPr>
            </w:pPr>
            <w:r>
              <w:rPr>
                <w:sz w:val="18"/>
              </w:rPr>
              <w:t>11.56</w:t>
            </w:r>
          </w:p>
        </w:tc>
      </w:tr>
      <w:tr w:rsidR="00975C43" w:rsidTr="00434B2C">
        <w:trPr>
          <w:trHeight w:val="244"/>
        </w:trPr>
        <w:tc>
          <w:tcPr>
            <w:tcW w:w="1024" w:type="dxa"/>
          </w:tcPr>
          <w:p w:rsidR="00975C43" w:rsidRDefault="00975C43" w:rsidP="00434B2C">
            <w:pPr>
              <w:pStyle w:val="TableParagraph"/>
              <w:ind w:left="88" w:right="66"/>
              <w:rPr>
                <w:sz w:val="18"/>
              </w:rPr>
            </w:pPr>
            <w:r>
              <w:rPr>
                <w:sz w:val="18"/>
              </w:rPr>
              <w:t>47/2008г</w:t>
            </w:r>
          </w:p>
        </w:tc>
        <w:tc>
          <w:tcPr>
            <w:tcW w:w="2824" w:type="dxa"/>
          </w:tcPr>
          <w:p w:rsidR="00975C43" w:rsidRDefault="00975C43" w:rsidP="00434B2C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Суп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картофельный с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бобовыми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6.20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91" w:right="71"/>
              <w:rPr>
                <w:sz w:val="18"/>
              </w:rPr>
            </w:pPr>
            <w:r>
              <w:rPr>
                <w:sz w:val="18"/>
              </w:rPr>
              <w:t>5.60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ind w:left="88" w:right="68"/>
              <w:rPr>
                <w:sz w:val="18"/>
              </w:rPr>
            </w:pPr>
            <w:r>
              <w:rPr>
                <w:sz w:val="18"/>
              </w:rPr>
              <w:t>22.30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ind w:left="134" w:right="114"/>
              <w:rPr>
                <w:sz w:val="18"/>
              </w:rPr>
            </w:pPr>
            <w:r>
              <w:rPr>
                <w:sz w:val="18"/>
              </w:rPr>
              <w:t>164.40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ind w:left="57" w:right="37"/>
              <w:rPr>
                <w:sz w:val="18"/>
              </w:rPr>
            </w:pPr>
            <w:r>
              <w:rPr>
                <w:sz w:val="18"/>
              </w:rPr>
              <w:t>4.60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ind w:left="89" w:right="6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58.24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ind w:left="56" w:right="36"/>
              <w:rPr>
                <w:sz w:val="18"/>
              </w:rPr>
            </w:pPr>
            <w:r>
              <w:rPr>
                <w:sz w:val="18"/>
              </w:rPr>
              <w:t>119.71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33.62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ind w:left="65" w:right="37"/>
              <w:rPr>
                <w:sz w:val="18"/>
              </w:rPr>
            </w:pPr>
            <w:r>
              <w:rPr>
                <w:sz w:val="18"/>
              </w:rPr>
              <w:t>1.71</w:t>
            </w:r>
          </w:p>
        </w:tc>
      </w:tr>
      <w:tr w:rsidR="00975C43" w:rsidTr="00434B2C">
        <w:trPr>
          <w:trHeight w:val="427"/>
        </w:trPr>
        <w:tc>
          <w:tcPr>
            <w:tcW w:w="1024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88" w:right="66"/>
              <w:rPr>
                <w:sz w:val="18"/>
              </w:rPr>
            </w:pPr>
            <w:r>
              <w:rPr>
                <w:sz w:val="18"/>
              </w:rPr>
              <w:t>97/2008г</w:t>
            </w:r>
          </w:p>
        </w:tc>
        <w:tc>
          <w:tcPr>
            <w:tcW w:w="2824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Макаронные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изделия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отварные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91" w:right="71"/>
              <w:rPr>
                <w:sz w:val="18"/>
              </w:rPr>
            </w:pPr>
            <w:r>
              <w:rPr>
                <w:sz w:val="18"/>
              </w:rPr>
              <w:t>7.38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88" w:right="68"/>
              <w:rPr>
                <w:sz w:val="18"/>
              </w:rPr>
            </w:pPr>
            <w:r>
              <w:rPr>
                <w:sz w:val="18"/>
              </w:rPr>
              <w:t>42.30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134" w:right="114"/>
              <w:rPr>
                <w:sz w:val="18"/>
              </w:rPr>
            </w:pPr>
            <w:r>
              <w:rPr>
                <w:sz w:val="18"/>
              </w:rPr>
              <w:t>260.82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61" w:right="33"/>
              <w:rPr>
                <w:sz w:val="18"/>
              </w:rPr>
            </w:pPr>
            <w:r>
              <w:rPr>
                <w:sz w:val="18"/>
              </w:rPr>
              <w:t>0.072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57" w:right="37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61" w:right="3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89" w:right="61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43.20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56" w:right="36"/>
              <w:rPr>
                <w:sz w:val="18"/>
              </w:rPr>
            </w:pPr>
            <w:r>
              <w:rPr>
                <w:sz w:val="18"/>
              </w:rPr>
              <w:t>190.80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30.60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spacing w:before="106" w:line="240" w:lineRule="auto"/>
              <w:ind w:left="65" w:right="37"/>
              <w:rPr>
                <w:sz w:val="18"/>
              </w:rPr>
            </w:pPr>
            <w:r>
              <w:rPr>
                <w:sz w:val="18"/>
              </w:rPr>
              <w:t>3.78</w:t>
            </w:r>
          </w:p>
        </w:tc>
      </w:tr>
      <w:tr w:rsidR="00975C43" w:rsidTr="00434B2C">
        <w:trPr>
          <w:trHeight w:val="243"/>
        </w:trPr>
        <w:tc>
          <w:tcPr>
            <w:tcW w:w="1024" w:type="dxa"/>
          </w:tcPr>
          <w:p w:rsidR="00975C43" w:rsidRDefault="00975C43" w:rsidP="00434B2C">
            <w:pPr>
              <w:pStyle w:val="TableParagraph"/>
              <w:ind w:left="88" w:right="66"/>
              <w:rPr>
                <w:sz w:val="18"/>
              </w:rPr>
            </w:pPr>
            <w:r>
              <w:rPr>
                <w:sz w:val="18"/>
              </w:rPr>
              <w:t>63/2008г</w:t>
            </w:r>
          </w:p>
        </w:tc>
        <w:tc>
          <w:tcPr>
            <w:tcW w:w="2824" w:type="dxa"/>
          </w:tcPr>
          <w:p w:rsidR="00975C43" w:rsidRDefault="00975C43" w:rsidP="00434B2C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Гуляш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13.90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91" w:right="71"/>
              <w:rPr>
                <w:sz w:val="18"/>
              </w:rPr>
            </w:pPr>
            <w:r>
              <w:rPr>
                <w:sz w:val="18"/>
              </w:rPr>
              <w:t>6.50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ind w:left="88" w:right="68"/>
              <w:rPr>
                <w:sz w:val="18"/>
              </w:rPr>
            </w:pPr>
            <w:r>
              <w:rPr>
                <w:sz w:val="18"/>
              </w:rPr>
              <w:t>4.00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ind w:left="134" w:right="114"/>
              <w:rPr>
                <w:sz w:val="18"/>
              </w:rPr>
            </w:pPr>
            <w:r>
              <w:rPr>
                <w:sz w:val="18"/>
              </w:rPr>
              <w:t>130.10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ind w:left="57" w:right="37"/>
              <w:rPr>
                <w:sz w:val="18"/>
              </w:rPr>
            </w:pPr>
            <w:r>
              <w:rPr>
                <w:sz w:val="18"/>
              </w:rPr>
              <w:t>0.90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ind w:left="89" w:right="61"/>
              <w:rPr>
                <w:sz w:val="18"/>
              </w:rPr>
            </w:pPr>
            <w:r>
              <w:rPr>
                <w:sz w:val="18"/>
              </w:rPr>
              <w:t>0.60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17.00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ind w:left="56" w:right="36"/>
              <w:rPr>
                <w:sz w:val="18"/>
              </w:rPr>
            </w:pPr>
            <w:r>
              <w:rPr>
                <w:sz w:val="18"/>
              </w:rPr>
              <w:t>146.00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22.00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ind w:left="65" w:right="37"/>
              <w:rPr>
                <w:sz w:val="18"/>
              </w:rPr>
            </w:pPr>
            <w:r>
              <w:rPr>
                <w:sz w:val="18"/>
              </w:rPr>
              <w:t>1.60</w:t>
            </w:r>
          </w:p>
        </w:tc>
      </w:tr>
      <w:tr w:rsidR="00975C43" w:rsidTr="00434B2C">
        <w:trPr>
          <w:trHeight w:val="244"/>
        </w:trPr>
        <w:tc>
          <w:tcPr>
            <w:tcW w:w="1024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</w:tcPr>
          <w:p w:rsidR="00975C43" w:rsidRDefault="00975C43" w:rsidP="00434B2C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пшеничный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91" w:right="71"/>
              <w:rPr>
                <w:sz w:val="18"/>
              </w:rPr>
            </w:pPr>
            <w:r>
              <w:rPr>
                <w:sz w:val="18"/>
              </w:rPr>
              <w:t>0.32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ind w:left="88" w:right="68"/>
              <w:rPr>
                <w:sz w:val="18"/>
              </w:rPr>
            </w:pPr>
            <w:r>
              <w:rPr>
                <w:sz w:val="18"/>
              </w:rPr>
              <w:t>19.8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ind w:left="134" w:right="114"/>
              <w:rPr>
                <w:sz w:val="18"/>
              </w:rPr>
            </w:pPr>
            <w:r>
              <w:rPr>
                <w:sz w:val="18"/>
              </w:rPr>
              <w:t>94.40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0.044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ind w:left="57" w:right="37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ind w:left="89" w:right="61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ind w:left="56" w:right="36"/>
              <w:rPr>
                <w:sz w:val="18"/>
              </w:rPr>
            </w:pPr>
            <w:r>
              <w:rPr>
                <w:sz w:val="18"/>
              </w:rPr>
              <w:t>26.00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19.60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ind w:left="65" w:right="37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</w:tr>
      <w:tr w:rsidR="00975C43" w:rsidTr="00434B2C">
        <w:trPr>
          <w:trHeight w:val="244"/>
        </w:trPr>
        <w:tc>
          <w:tcPr>
            <w:tcW w:w="1024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24" w:type="dxa"/>
          </w:tcPr>
          <w:p w:rsidR="00975C43" w:rsidRDefault="00975C43" w:rsidP="00434B2C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Хлеб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ржано-пшеничный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ind w:left="325"/>
              <w:jc w:val="lef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2.64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91" w:right="71"/>
              <w:rPr>
                <w:sz w:val="18"/>
              </w:rPr>
            </w:pPr>
            <w:r>
              <w:rPr>
                <w:sz w:val="18"/>
              </w:rPr>
              <w:t>0.44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ind w:left="88" w:right="68"/>
              <w:rPr>
                <w:sz w:val="18"/>
              </w:rPr>
            </w:pPr>
            <w:r>
              <w:rPr>
                <w:sz w:val="18"/>
              </w:rPr>
              <w:t>17.56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ind w:left="134" w:right="114"/>
              <w:rPr>
                <w:sz w:val="18"/>
              </w:rPr>
            </w:pPr>
            <w:r>
              <w:rPr>
                <w:sz w:val="18"/>
              </w:rPr>
              <w:t>84.76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ind w:left="57" w:right="37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ind w:left="89" w:right="61"/>
              <w:rPr>
                <w:sz w:val="18"/>
              </w:rPr>
            </w:pPr>
            <w:r>
              <w:rPr>
                <w:sz w:val="18"/>
              </w:rPr>
              <w:t>0.56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14.00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ind w:left="56" w:right="36"/>
              <w:rPr>
                <w:sz w:val="18"/>
              </w:rPr>
            </w:pPr>
            <w:r>
              <w:rPr>
                <w:sz w:val="18"/>
              </w:rPr>
              <w:t>63.20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right="127"/>
              <w:jc w:val="right"/>
              <w:rPr>
                <w:sz w:val="18"/>
              </w:rPr>
            </w:pPr>
            <w:r>
              <w:rPr>
                <w:sz w:val="18"/>
              </w:rPr>
              <w:t>18.80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ind w:left="65" w:right="37"/>
              <w:rPr>
                <w:sz w:val="18"/>
              </w:rPr>
            </w:pPr>
            <w:r>
              <w:rPr>
                <w:sz w:val="18"/>
              </w:rPr>
              <w:t>1.56</w:t>
            </w:r>
          </w:p>
        </w:tc>
      </w:tr>
      <w:tr w:rsidR="00975C43" w:rsidTr="00434B2C">
        <w:trPr>
          <w:trHeight w:val="243"/>
        </w:trPr>
        <w:tc>
          <w:tcPr>
            <w:tcW w:w="1024" w:type="dxa"/>
          </w:tcPr>
          <w:p w:rsidR="00975C43" w:rsidRDefault="00975C43" w:rsidP="00434B2C">
            <w:pPr>
              <w:pStyle w:val="TableParagraph"/>
              <w:ind w:left="87" w:right="66"/>
              <w:rPr>
                <w:sz w:val="18"/>
              </w:rPr>
            </w:pPr>
            <w:r>
              <w:rPr>
                <w:sz w:val="18"/>
              </w:rPr>
              <w:t>150/2008г</w:t>
            </w:r>
          </w:p>
        </w:tc>
        <w:tc>
          <w:tcPr>
            <w:tcW w:w="2824" w:type="dxa"/>
          </w:tcPr>
          <w:p w:rsidR="00975C43" w:rsidRDefault="00975C43" w:rsidP="00434B2C">
            <w:pPr>
              <w:pStyle w:val="TableParagraph"/>
              <w:ind w:left="29"/>
              <w:jc w:val="left"/>
              <w:rPr>
                <w:sz w:val="18"/>
              </w:rPr>
            </w:pPr>
            <w:r>
              <w:rPr>
                <w:sz w:val="18"/>
              </w:rPr>
              <w:t>Кисель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варенья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91" w:right="7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ind w:left="88" w:right="68"/>
              <w:rPr>
                <w:sz w:val="18"/>
              </w:rPr>
            </w:pPr>
            <w:r>
              <w:rPr>
                <w:sz w:val="18"/>
              </w:rPr>
              <w:t>38.40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ind w:left="134" w:right="114"/>
              <w:rPr>
                <w:sz w:val="18"/>
              </w:rPr>
            </w:pPr>
            <w:r>
              <w:rPr>
                <w:sz w:val="18"/>
              </w:rPr>
              <w:t>153.60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ind w:left="57" w:right="37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ind w:left="89" w:right="6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9.30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ind w:left="56" w:right="36"/>
              <w:rPr>
                <w:sz w:val="18"/>
              </w:rPr>
            </w:pPr>
            <w:r>
              <w:rPr>
                <w:sz w:val="18"/>
              </w:rPr>
              <w:t>8.84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245"/>
              <w:jc w:val="lef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ind w:left="65" w:right="37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</w:tr>
      <w:tr w:rsidR="00975C43" w:rsidTr="00434B2C">
        <w:trPr>
          <w:trHeight w:val="244"/>
        </w:trPr>
        <w:tc>
          <w:tcPr>
            <w:tcW w:w="3848" w:type="dxa"/>
            <w:gridSpan w:val="2"/>
          </w:tcPr>
          <w:p w:rsidR="00975C43" w:rsidRDefault="00975C43" w:rsidP="00434B2C">
            <w:pPr>
              <w:pStyle w:val="TableParagraph"/>
              <w:ind w:left="141"/>
              <w:jc w:val="left"/>
              <w:rPr>
                <w:sz w:val="18"/>
              </w:rPr>
            </w:pPr>
            <w:r>
              <w:rPr>
                <w:sz w:val="18"/>
              </w:rPr>
              <w:t xml:space="preserve">338/2015 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фрукт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свежий (апельсин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ind w:left="277"/>
              <w:jc w:val="lef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91" w:right="71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ind w:left="88" w:right="68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ind w:left="134" w:right="114"/>
              <w:rPr>
                <w:sz w:val="18"/>
              </w:rPr>
            </w:pPr>
            <w:r>
              <w:rPr>
                <w:sz w:val="18"/>
              </w:rPr>
              <w:t>43.00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ind w:left="57" w:right="37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ind w:left="61" w:right="3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ind w:left="89" w:right="61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ind w:left="56" w:right="36"/>
              <w:rPr>
                <w:sz w:val="18"/>
              </w:rPr>
            </w:pPr>
            <w:r>
              <w:rPr>
                <w:sz w:val="18"/>
              </w:rPr>
              <w:t>28.00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42.0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ind w:left="29"/>
              <w:rPr>
                <w:sz w:val="18"/>
              </w:rPr>
            </w:pPr>
            <w:r>
              <w:rPr>
                <w:w w:val="102"/>
                <w:sz w:val="18"/>
              </w:rPr>
              <w:t>0</w:t>
            </w:r>
          </w:p>
        </w:tc>
      </w:tr>
      <w:tr w:rsidR="00975C43" w:rsidTr="00434B2C">
        <w:trPr>
          <w:trHeight w:val="243"/>
        </w:trPr>
        <w:tc>
          <w:tcPr>
            <w:tcW w:w="3848" w:type="dxa"/>
            <w:gridSpan w:val="2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975C43" w:rsidTr="00434B2C">
        <w:trPr>
          <w:trHeight w:val="243"/>
        </w:trPr>
        <w:tc>
          <w:tcPr>
            <w:tcW w:w="3848" w:type="dxa"/>
            <w:gridSpan w:val="2"/>
          </w:tcPr>
          <w:p w:rsidR="00975C43" w:rsidRDefault="00975C43" w:rsidP="00434B2C">
            <w:pPr>
              <w:pStyle w:val="TableParagraph"/>
              <w:spacing w:before="2" w:line="240" w:lineRule="auto"/>
              <w:ind w:left="1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ОБЕД:</w:t>
            </w:r>
          </w:p>
        </w:tc>
        <w:tc>
          <w:tcPr>
            <w:tcW w:w="832" w:type="dxa"/>
          </w:tcPr>
          <w:p w:rsidR="00975C43" w:rsidRDefault="00975C43" w:rsidP="00434B2C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0" w:type="dxa"/>
          </w:tcPr>
          <w:p w:rsidR="00975C43" w:rsidRDefault="00975C43" w:rsidP="00434B2C">
            <w:pPr>
              <w:pStyle w:val="TableParagraph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35.02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left="91"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31.54</w:t>
            </w:r>
          </w:p>
        </w:tc>
        <w:tc>
          <w:tcPr>
            <w:tcW w:w="952" w:type="dxa"/>
          </w:tcPr>
          <w:p w:rsidR="00975C43" w:rsidRDefault="00975C43" w:rsidP="00434B2C">
            <w:pPr>
              <w:pStyle w:val="TableParagraph"/>
              <w:ind w:left="88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153.66</w:t>
            </w:r>
          </w:p>
        </w:tc>
        <w:tc>
          <w:tcPr>
            <w:tcW w:w="904" w:type="dxa"/>
          </w:tcPr>
          <w:p w:rsidR="00975C43" w:rsidRDefault="00975C43" w:rsidP="00434B2C">
            <w:pPr>
              <w:pStyle w:val="TableParagraph"/>
              <w:ind w:left="134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1042.08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left="61"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0.48</w:t>
            </w:r>
          </w:p>
        </w:tc>
        <w:tc>
          <w:tcPr>
            <w:tcW w:w="568" w:type="dxa"/>
          </w:tcPr>
          <w:p w:rsidR="00975C43" w:rsidRDefault="00975C43" w:rsidP="00434B2C">
            <w:pPr>
              <w:pStyle w:val="TableParagraph"/>
              <w:ind w:left="57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67.90</w:t>
            </w:r>
          </w:p>
        </w:tc>
        <w:tc>
          <w:tcPr>
            <w:tcW w:w="608" w:type="dxa"/>
          </w:tcPr>
          <w:p w:rsidR="00975C43" w:rsidRDefault="00975C43" w:rsidP="00434B2C">
            <w:pPr>
              <w:pStyle w:val="TableParagraph"/>
              <w:ind w:left="61"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0.01</w:t>
            </w:r>
          </w:p>
        </w:tc>
        <w:tc>
          <w:tcPr>
            <w:tcW w:w="624" w:type="dxa"/>
          </w:tcPr>
          <w:p w:rsidR="00975C43" w:rsidRDefault="00975C43" w:rsidP="00434B2C">
            <w:pPr>
              <w:pStyle w:val="TableParagraph"/>
              <w:ind w:left="8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4.70</w:t>
            </w:r>
          </w:p>
        </w:tc>
        <w:tc>
          <w:tcPr>
            <w:tcW w:w="672" w:type="dxa"/>
          </w:tcPr>
          <w:p w:rsidR="00975C43" w:rsidRDefault="00975C43" w:rsidP="00434B2C"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198.02</w:t>
            </w:r>
          </w:p>
        </w:tc>
        <w:tc>
          <w:tcPr>
            <w:tcW w:w="888" w:type="dxa"/>
          </w:tcPr>
          <w:p w:rsidR="00975C43" w:rsidRDefault="00975C43" w:rsidP="00434B2C">
            <w:pPr>
              <w:pStyle w:val="TableParagraph"/>
              <w:ind w:left="56"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582.55</w:t>
            </w:r>
          </w:p>
        </w:tc>
        <w:tc>
          <w:tcPr>
            <w:tcW w:w="728" w:type="dxa"/>
          </w:tcPr>
          <w:p w:rsidR="00975C43" w:rsidRDefault="00975C43" w:rsidP="00434B2C">
            <w:pPr>
              <w:pStyle w:val="TableParagraph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289.19</w:t>
            </w:r>
          </w:p>
        </w:tc>
        <w:tc>
          <w:tcPr>
            <w:tcW w:w="576" w:type="dxa"/>
          </w:tcPr>
          <w:p w:rsidR="00975C43" w:rsidRDefault="00975C43" w:rsidP="00434B2C">
            <w:pPr>
              <w:pStyle w:val="TableParagraph"/>
              <w:ind w:left="65"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20.71</w:t>
            </w:r>
          </w:p>
        </w:tc>
      </w:tr>
    </w:tbl>
    <w:p w:rsidR="00912DBD" w:rsidRDefault="00975C4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4022090</wp:posOffset>
            </wp:positionV>
            <wp:extent cx="2105025" cy="16573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2DBD" w:rsidSect="00975C4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3F" w:rsidRDefault="00387E3F" w:rsidP="00975C43">
      <w:r>
        <w:separator/>
      </w:r>
    </w:p>
  </w:endnote>
  <w:endnote w:type="continuationSeparator" w:id="1">
    <w:p w:rsidR="00387E3F" w:rsidRDefault="00387E3F" w:rsidP="00975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3F" w:rsidRDefault="00387E3F" w:rsidP="00975C43">
      <w:r>
        <w:separator/>
      </w:r>
    </w:p>
  </w:footnote>
  <w:footnote w:type="continuationSeparator" w:id="1">
    <w:p w:rsidR="00387E3F" w:rsidRDefault="00387E3F" w:rsidP="00975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C43" w:rsidRDefault="00975C43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7633335</wp:posOffset>
          </wp:positionH>
          <wp:positionV relativeFrom="paragraph">
            <wp:posOffset>-268605</wp:posOffset>
          </wp:positionV>
          <wp:extent cx="2105025" cy="1657350"/>
          <wp:effectExtent l="19050" t="0" r="952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t xml:space="preserve"> </w:t>
    </w:r>
    <w:r>
      <w:t xml:space="preserve">                                                                                        Меню на 19.03.2025 г                                                                                                                           Утверждаю</w:t>
    </w:r>
  </w:p>
  <w:p w:rsidR="00975C43" w:rsidRDefault="00975C4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Директор школы </w:t>
    </w:r>
  </w:p>
  <w:p w:rsidR="00975C43" w:rsidRDefault="00975C4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____________ М.В. Конышева</w:t>
    </w:r>
  </w:p>
  <w:p w:rsidR="00975C43" w:rsidRDefault="00975C43">
    <w:pPr>
      <w:pStyle w:val="a3"/>
    </w:pPr>
  </w:p>
  <w:p w:rsidR="00975C43" w:rsidRDefault="00975C43">
    <w:pPr>
      <w:pStyle w:val="a3"/>
    </w:pPr>
    <w:r>
      <w:t xml:space="preserve">           </w:t>
    </w:r>
  </w:p>
  <w:p w:rsidR="00975C43" w:rsidRDefault="00975C43">
    <w:pPr>
      <w:pStyle w:val="a3"/>
    </w:pPr>
  </w:p>
  <w:p w:rsidR="00975C43" w:rsidRDefault="00975C43">
    <w:pPr>
      <w:pStyle w:val="a3"/>
    </w:pPr>
  </w:p>
  <w:p w:rsidR="00975C43" w:rsidRDefault="00975C43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75C43"/>
    <w:rsid w:val="00387E3F"/>
    <w:rsid w:val="00912DBD"/>
    <w:rsid w:val="0097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5C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75C43"/>
    <w:pPr>
      <w:spacing w:before="10" w:line="213" w:lineRule="exact"/>
      <w:jc w:val="center"/>
    </w:pPr>
  </w:style>
  <w:style w:type="paragraph" w:styleId="a3">
    <w:name w:val="header"/>
    <w:basedOn w:val="a"/>
    <w:link w:val="a4"/>
    <w:uiPriority w:val="99"/>
    <w:semiHidden/>
    <w:unhideWhenUsed/>
    <w:rsid w:val="00975C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5C43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975C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5C43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nout</cp:lastModifiedBy>
  <cp:revision>1</cp:revision>
  <cp:lastPrinted>2025-03-18T11:14:00Z</cp:lastPrinted>
  <dcterms:created xsi:type="dcterms:W3CDTF">2025-03-18T11:06:00Z</dcterms:created>
  <dcterms:modified xsi:type="dcterms:W3CDTF">2025-03-18T11:15:00Z</dcterms:modified>
</cp:coreProperties>
</file>